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52" w:rsidRPr="00921415" w:rsidRDefault="00921415" w:rsidP="00921415">
      <w:pPr>
        <w:spacing w:after="0"/>
        <w:jc w:val="center"/>
        <w:rPr>
          <w:rFonts w:ascii="Verdana" w:hAnsi="Verdana"/>
          <w:b/>
        </w:rPr>
      </w:pPr>
      <w:r w:rsidRPr="00921415">
        <w:rPr>
          <w:rFonts w:ascii="Verdana" w:hAnsi="Verdana"/>
          <w:b/>
        </w:rPr>
        <w:t xml:space="preserve">RELAZIONE </w:t>
      </w:r>
      <w:r w:rsidR="00E20679">
        <w:rPr>
          <w:rFonts w:ascii="Verdana" w:hAnsi="Verdana"/>
          <w:b/>
        </w:rPr>
        <w:t>MEDICA</w:t>
      </w:r>
      <w:r w:rsidRPr="00921415">
        <w:rPr>
          <w:rFonts w:ascii="Verdana" w:hAnsi="Verdana"/>
          <w:b/>
        </w:rPr>
        <w:t xml:space="preserve"> 2019</w:t>
      </w:r>
    </w:p>
    <w:p w:rsidR="00921415" w:rsidRDefault="00921415" w:rsidP="00921415">
      <w:pPr>
        <w:spacing w:after="0"/>
        <w:jc w:val="center"/>
        <w:rPr>
          <w:rFonts w:ascii="Verdana" w:hAnsi="Verdana"/>
          <w:b/>
        </w:rPr>
      </w:pPr>
      <w:r w:rsidRPr="00921415">
        <w:rPr>
          <w:rFonts w:ascii="Verdana" w:hAnsi="Verdana"/>
          <w:b/>
        </w:rPr>
        <w:t xml:space="preserve">Dr. Vittore </w:t>
      </w:r>
      <w:proofErr w:type="spellStart"/>
      <w:r w:rsidRPr="00921415">
        <w:rPr>
          <w:rFonts w:ascii="Verdana" w:hAnsi="Verdana"/>
          <w:b/>
        </w:rPr>
        <w:t>Malacrida</w:t>
      </w:r>
      <w:proofErr w:type="spellEnd"/>
    </w:p>
    <w:p w:rsidR="00921415" w:rsidRDefault="00921415" w:rsidP="00921415">
      <w:pPr>
        <w:spacing w:after="0"/>
        <w:jc w:val="center"/>
        <w:rPr>
          <w:rFonts w:ascii="Verdana" w:hAnsi="Verdana"/>
          <w:b/>
        </w:rPr>
      </w:pPr>
    </w:p>
    <w:p w:rsidR="00921415" w:rsidRPr="00FE083A" w:rsidRDefault="009310FB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E’ opportuna una premessa. </w:t>
      </w:r>
      <w:r w:rsidR="00921415" w:rsidRPr="00FE083A">
        <w:rPr>
          <w:rFonts w:ascii="Verdana" w:hAnsi="Verdana"/>
        </w:rPr>
        <w:t>La lettura della situazione sanitaria avisina nel 2019 non è facile in quanto la nostra sezione non è più autonoma ma è un nodo della grande rete nazionale che dovrà migliorare il sistema sangue e pone quindi molte domande anche al medico, quali:</w:t>
      </w:r>
    </w:p>
    <w:p w:rsidR="00921415" w:rsidRPr="00FE083A" w:rsidRDefault="00921415" w:rsidP="00E20679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FE083A">
        <w:rPr>
          <w:rFonts w:ascii="Verdana" w:hAnsi="Verdana"/>
        </w:rPr>
        <w:t>Il sangue è sufficiente?</w:t>
      </w:r>
    </w:p>
    <w:p w:rsidR="00921415" w:rsidRPr="00FE083A" w:rsidRDefault="00921415" w:rsidP="00E20679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FE083A">
        <w:rPr>
          <w:rFonts w:ascii="Verdana" w:hAnsi="Verdana"/>
        </w:rPr>
        <w:t>Il Donatore è tutelato?</w:t>
      </w:r>
    </w:p>
    <w:p w:rsidR="00921415" w:rsidRPr="009310FB" w:rsidRDefault="00921415" w:rsidP="00E20679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9310FB">
        <w:rPr>
          <w:rFonts w:ascii="Verdana" w:hAnsi="Verdana"/>
        </w:rPr>
        <w:t>L’Avisino è informato?</w:t>
      </w:r>
    </w:p>
    <w:p w:rsidR="00025065" w:rsidRDefault="00025065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trattazione non è più dedicata al donatore “fragile” ma ad eventi condizionati dalla “scarsa partecipazione associativa”, segnalata dal forte programma del Presidente. </w:t>
      </w:r>
    </w:p>
    <w:p w:rsidR="00025065" w:rsidRDefault="00025065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Per esempio, è sufficiente il sangue per i 135000 abitanti dell’ex circolo ospedaliero di Busto, che nel 2019 riceve 51 donazioni per 1000 abitanti? Nel 2018 erano 54,2 cioè 7 in più della media provinciale. Scenderemo ancora? Guardiamo ai dati provinciali con fiducia per due motivi: </w:t>
      </w:r>
      <w:r w:rsidR="0046017E">
        <w:rPr>
          <w:rFonts w:ascii="Verdana" w:hAnsi="Verdana"/>
        </w:rPr>
        <w:t xml:space="preserve">7 punti in più sono il 15% della media provinciale; e la donazione moderna in </w:t>
      </w:r>
      <w:proofErr w:type="spellStart"/>
      <w:r w:rsidR="0046017E">
        <w:rPr>
          <w:rFonts w:ascii="Verdana" w:hAnsi="Verdana"/>
        </w:rPr>
        <w:t>multicomponent</w:t>
      </w:r>
      <w:proofErr w:type="spellEnd"/>
      <w:r w:rsidR="0046017E">
        <w:rPr>
          <w:rFonts w:ascii="Verdana" w:hAnsi="Verdana"/>
        </w:rPr>
        <w:t xml:space="preserve"> nel 2018 era seconda alla intera provincia di Bescia.</w:t>
      </w:r>
    </w:p>
    <w:p w:rsidR="0046017E" w:rsidRDefault="0046017E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Dopo la disponibilità </w:t>
      </w:r>
      <w:proofErr w:type="spellStart"/>
      <w:r>
        <w:rPr>
          <w:rFonts w:ascii="Verdana" w:hAnsi="Verdana"/>
        </w:rPr>
        <w:t>donazionale</w:t>
      </w:r>
      <w:proofErr w:type="spellEnd"/>
      <w:r>
        <w:rPr>
          <w:rFonts w:ascii="Verdana" w:hAnsi="Verdana"/>
        </w:rPr>
        <w:t xml:space="preserve">, si pone l’obbligo per la salute del donatore, dal 1938 svolto con semplici prestazioni professionali; ma con lo Statuto del 17/05/2003, art.2-c2-3b è diventato più complesso come tutela del diritto alla salute del donatore. Questa tutela funziona a Busto dal 2009 e, come </w:t>
      </w:r>
      <w:r w:rsidR="00FE083A">
        <w:rPr>
          <w:rFonts w:ascii="Verdana" w:hAnsi="Verdana"/>
        </w:rPr>
        <w:t xml:space="preserve">già detto in precedenti assemblee, ha anticipato di 6 anni la procedura per la idoneità trasfusionale della legge 02/11/2015. La durata del periodo di tutela è stata ridotta dalla Azienda Valle Olona ad </w:t>
      </w:r>
      <w:r w:rsidR="009310FB">
        <w:rPr>
          <w:rFonts w:ascii="Verdana" w:hAnsi="Verdana"/>
        </w:rPr>
        <w:t>inizio 2016, sar</w:t>
      </w:r>
      <w:r w:rsidR="00FE083A">
        <w:rPr>
          <w:rFonts w:ascii="Verdana" w:hAnsi="Verdana"/>
        </w:rPr>
        <w:t>à bene controllarne i risultati appena possibile.</w:t>
      </w:r>
    </w:p>
    <w:p w:rsidR="006F76F8" w:rsidRDefault="006F76F8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Il terzo problema è la fidelizzazione, da farsi in occasione della prima donazione differita, è impossibile a Busto per la mancanza di spazio; con due studenti di Castellanza e Gallarate del progetto scuola-lavoro, si è studiato per due estati il sistema applicandolo poi con buoni risultati in occasione della prima inidoneità a tutti gli avisini.</w:t>
      </w:r>
    </w:p>
    <w:p w:rsidR="00921415" w:rsidRDefault="006F76F8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Dal 2016 le attività avisine si svolgono </w:t>
      </w:r>
      <w:r w:rsidR="002C6EA8">
        <w:rPr>
          <w:rFonts w:ascii="Verdana" w:hAnsi="Verdana"/>
        </w:rPr>
        <w:t>non più in una sezione autonoma, m</w:t>
      </w:r>
      <w:r>
        <w:rPr>
          <w:rFonts w:ascii="Verdana" w:hAnsi="Verdana"/>
        </w:rPr>
        <w:t xml:space="preserve">a nei nodi di una grande rete molto più efficace, per esempio provinciale. Conoscere le caratteristiche dei nodi ed i tempi disponibili eviterà che Busto diventi un servizio terziario, con lavori assegnati da altri, ignorando i nuovi bisogni sociali ben diversi da quelli del 1947 (fame e mortalità lavorativa), come la disoccupazione giovanile, </w:t>
      </w:r>
      <w:r w:rsidR="002C6EA8">
        <w:rPr>
          <w:rFonts w:ascii="Verdana" w:hAnsi="Verdana"/>
        </w:rPr>
        <w:t>l’accesso alle prestazioni mediche compresa la stessa donazione volontaria o il rispetto dell’appuntamento trasfusionale (secondo i dati forniti dal signor Trombetti). I</w:t>
      </w:r>
      <w:r w:rsidR="009310FB">
        <w:rPr>
          <w:rFonts w:ascii="Verdana" w:hAnsi="Verdana"/>
        </w:rPr>
        <w:t>l nuovo S</w:t>
      </w:r>
      <w:r w:rsidR="002C6EA8">
        <w:rPr>
          <w:rFonts w:ascii="Verdana" w:hAnsi="Verdana"/>
        </w:rPr>
        <w:t xml:space="preserve">tatuto che consente anche la donazione fuori sezione, potrà facilitare, per esempio, una continuità </w:t>
      </w:r>
      <w:proofErr w:type="spellStart"/>
      <w:r w:rsidR="002C6EA8">
        <w:rPr>
          <w:rFonts w:ascii="Verdana" w:hAnsi="Verdana"/>
        </w:rPr>
        <w:t>donazionale</w:t>
      </w:r>
      <w:proofErr w:type="spellEnd"/>
      <w:r w:rsidR="002C6EA8">
        <w:rPr>
          <w:rFonts w:ascii="Verdana" w:hAnsi="Verdana"/>
        </w:rPr>
        <w:t xml:space="preserve"> dell’iperteso appoggiato da un referto dei medici Avis, ma anche una misura del carico di lavoro </w:t>
      </w:r>
      <w:proofErr w:type="spellStart"/>
      <w:r w:rsidR="002C6EA8">
        <w:rPr>
          <w:rFonts w:ascii="Verdana" w:hAnsi="Verdana"/>
        </w:rPr>
        <w:t>donazionale</w:t>
      </w:r>
      <w:proofErr w:type="spellEnd"/>
      <w:r w:rsidR="002C6EA8">
        <w:rPr>
          <w:rFonts w:ascii="Verdana" w:hAnsi="Verdana"/>
        </w:rPr>
        <w:t xml:space="preserve"> variabile col numero di operatori e donazioni, tempi della chiamata e dimensioni della ex sezione.</w:t>
      </w:r>
    </w:p>
    <w:p w:rsidR="00E20679" w:rsidRDefault="00E20679" w:rsidP="00E20679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La tabella seguente presenta i dati principali.</w:t>
      </w:r>
    </w:p>
    <w:p w:rsidR="00E20679" w:rsidRDefault="00E2067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20679" w:rsidRDefault="00E20679" w:rsidP="00E20679">
      <w:pPr>
        <w:spacing w:after="0"/>
        <w:jc w:val="both"/>
        <w:rPr>
          <w:rFonts w:ascii="Verdana" w:hAnsi="Verdana"/>
        </w:rPr>
      </w:pPr>
    </w:p>
    <w:p w:rsidR="00E20679" w:rsidRDefault="00E20679" w:rsidP="00E20679">
      <w:pPr>
        <w:spacing w:after="0"/>
        <w:jc w:val="both"/>
        <w:rPr>
          <w:rFonts w:ascii="Verdana" w:hAnsi="Verdana"/>
        </w:rPr>
      </w:pPr>
    </w:p>
    <w:p w:rsidR="00E20679" w:rsidRPr="00E20679" w:rsidRDefault="00E20679" w:rsidP="00E20679">
      <w:pPr>
        <w:jc w:val="center"/>
        <w:rPr>
          <w:b/>
        </w:rPr>
      </w:pPr>
      <w:r w:rsidRPr="00E20679">
        <w:rPr>
          <w:b/>
        </w:rPr>
        <w:t>TABELLA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992"/>
        <w:gridCol w:w="992"/>
        <w:gridCol w:w="1134"/>
        <w:gridCol w:w="1418"/>
        <w:gridCol w:w="1382"/>
      </w:tblGrid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1418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1382" w:type="dxa"/>
          </w:tcPr>
          <w:p w:rsidR="00E20679" w:rsidRPr="00310B3B" w:rsidRDefault="00E20679" w:rsidP="000A4B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0B3B">
              <w:rPr>
                <w:rFonts w:ascii="Verdana" w:hAnsi="Verdana"/>
                <w:b/>
                <w:sz w:val="16"/>
                <w:szCs w:val="16"/>
              </w:rPr>
              <w:t>F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2018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Totale Provincia (43 sezioni)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2018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Media Sezione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2018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Busto</w:t>
            </w:r>
          </w:p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2019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Busto</w:t>
            </w:r>
          </w:p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 xml:space="preserve">Rapporto 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Busto 2018 / Sezione 2018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Rapporto</w:t>
            </w:r>
          </w:p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Busto 2019 / Sezione 2018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2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7430D">
              <w:rPr>
                <w:rFonts w:ascii="Verdana" w:hAnsi="Verdana"/>
                <w:b/>
                <w:sz w:val="16"/>
                <w:szCs w:val="16"/>
              </w:rPr>
              <w:t xml:space="preserve">Donatori </w:t>
            </w:r>
          </w:p>
          <w:p w:rsidR="00E20679" w:rsidRPr="0097430D" w:rsidRDefault="00E20679" w:rsidP="000A4B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(di cui)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24391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567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pStyle w:val="Paragrafoelenco"/>
              <w:tabs>
                <w:tab w:val="left" w:pos="-108"/>
              </w:tabs>
              <w:ind w:lef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4619</w:t>
            </w:r>
          </w:p>
        </w:tc>
        <w:tc>
          <w:tcPr>
            <w:tcW w:w="1134" w:type="dxa"/>
          </w:tcPr>
          <w:p w:rsidR="00E20679" w:rsidRPr="00310B3B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310B3B">
              <w:rPr>
                <w:rFonts w:ascii="Verdana" w:hAnsi="Verdana"/>
                <w:sz w:val="16"/>
                <w:szCs w:val="16"/>
              </w:rPr>
              <w:t>(1</w:t>
            </w:r>
            <w:r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310B3B">
              <w:rPr>
                <w:rFonts w:ascii="Verdana" w:hAnsi="Verdana"/>
                <w:sz w:val="16"/>
                <w:szCs w:val="16"/>
              </w:rPr>
              <w:t>4775</w:t>
            </w:r>
          </w:p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8.42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nuovi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1883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42.6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385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7.60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9.03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19-25 anni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2855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66.4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809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849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12.10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12.80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7430D">
              <w:rPr>
                <w:rFonts w:ascii="Verdana" w:hAnsi="Verdana"/>
                <w:b/>
                <w:sz w:val="16"/>
                <w:szCs w:val="16"/>
              </w:rPr>
              <w:t xml:space="preserve">Donazioni, </w:t>
            </w:r>
          </w:p>
          <w:p w:rsidR="00E20679" w:rsidRPr="0097430D" w:rsidRDefault="00E20679" w:rsidP="000A4BF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(di cui)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42144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980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7323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6924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7.47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7.06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sangue intero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37230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865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6108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5861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7.06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6.77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 xml:space="preserve">Aferesi + </w:t>
            </w:r>
            <w:proofErr w:type="spellStart"/>
            <w:r w:rsidRPr="0097430D">
              <w:rPr>
                <w:rFonts w:ascii="Verdana" w:hAnsi="Verdana"/>
                <w:sz w:val="16"/>
                <w:szCs w:val="16"/>
              </w:rPr>
              <w:t>multicomponent</w:t>
            </w:r>
            <w:proofErr w:type="spellEnd"/>
          </w:p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(di cui)</w:t>
            </w:r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4914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1215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1063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10.65</w:t>
            </w:r>
          </w:p>
        </w:tc>
        <w:tc>
          <w:tcPr>
            <w:tcW w:w="138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9.32</w:t>
            </w:r>
          </w:p>
        </w:tc>
      </w:tr>
      <w:tr w:rsidR="00E20679" w:rsidRPr="0097430D" w:rsidTr="000A4BFD">
        <w:tc>
          <w:tcPr>
            <w:tcW w:w="2376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0D">
              <w:rPr>
                <w:rFonts w:ascii="Verdana" w:hAnsi="Verdana"/>
                <w:sz w:val="16"/>
                <w:szCs w:val="16"/>
              </w:rPr>
              <w:t>multicomponent</w:t>
            </w:r>
            <w:proofErr w:type="spellEnd"/>
          </w:p>
        </w:tc>
        <w:tc>
          <w:tcPr>
            <w:tcW w:w="1560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 xml:space="preserve">(2) 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(2)</w:t>
            </w:r>
          </w:p>
        </w:tc>
        <w:tc>
          <w:tcPr>
            <w:tcW w:w="992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1116</w:t>
            </w:r>
          </w:p>
        </w:tc>
        <w:tc>
          <w:tcPr>
            <w:tcW w:w="1134" w:type="dxa"/>
          </w:tcPr>
          <w:p w:rsidR="00E20679" w:rsidRPr="0097430D" w:rsidRDefault="00E20679" w:rsidP="000A4BF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7430D">
              <w:rPr>
                <w:rFonts w:ascii="Verdana" w:hAnsi="Verdana"/>
                <w:sz w:val="16"/>
                <w:szCs w:val="16"/>
              </w:rPr>
              <w:t>988</w:t>
            </w:r>
          </w:p>
        </w:tc>
        <w:tc>
          <w:tcPr>
            <w:tcW w:w="1418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2" w:type="dxa"/>
          </w:tcPr>
          <w:p w:rsidR="00E20679" w:rsidRPr="0097430D" w:rsidRDefault="00E20679" w:rsidP="000A4BF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20679" w:rsidRDefault="00E20679" w:rsidP="00E20679">
      <w:pPr>
        <w:rPr>
          <w:rFonts w:ascii="Verdana" w:hAnsi="Verdana"/>
          <w:sz w:val="16"/>
          <w:szCs w:val="16"/>
        </w:rPr>
      </w:pPr>
    </w:p>
    <w:p w:rsidR="00E20679" w:rsidRDefault="00E20679" w:rsidP="00E2067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NB:</w:t>
      </w:r>
    </w:p>
    <w:p w:rsidR="00E20679" w:rsidRDefault="00E20679" w:rsidP="00E20679">
      <w:pPr>
        <w:pStyle w:val="Paragrafoelenco"/>
        <w:numPr>
          <w:ilvl w:val="0"/>
          <w:numId w:val="3"/>
        </w:numPr>
        <w:spacing w:after="0"/>
        <w:rPr>
          <w:rFonts w:ascii="Verdana" w:hAnsi="Verdana"/>
          <w:sz w:val="16"/>
          <w:szCs w:val="16"/>
        </w:rPr>
      </w:pPr>
      <w:r w:rsidRPr="00943BA1">
        <w:rPr>
          <w:rFonts w:ascii="Verdana" w:hAnsi="Verdana"/>
          <w:sz w:val="16"/>
          <w:szCs w:val="16"/>
        </w:rPr>
        <w:t>B = A/43</w:t>
      </w:r>
    </w:p>
    <w:p w:rsidR="00E20679" w:rsidRDefault="00E20679" w:rsidP="00E20679">
      <w:pPr>
        <w:pStyle w:val="Paragrafoelenco"/>
        <w:numPr>
          <w:ilvl w:val="0"/>
          <w:numId w:val="3"/>
        </w:num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 = C/B</w:t>
      </w:r>
    </w:p>
    <w:p w:rsidR="00E20679" w:rsidRDefault="00E20679" w:rsidP="00E20679">
      <w:pPr>
        <w:pStyle w:val="Paragrafoelenco"/>
        <w:numPr>
          <w:ilvl w:val="0"/>
          <w:numId w:val="3"/>
        </w:num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 = D/B</w:t>
      </w:r>
    </w:p>
    <w:p w:rsidR="00E20679" w:rsidRDefault="00E20679" w:rsidP="00E20679">
      <w:pPr>
        <w:spacing w:after="0"/>
        <w:rPr>
          <w:rFonts w:ascii="Verdana" w:hAnsi="Verdana"/>
          <w:sz w:val="16"/>
          <w:szCs w:val="16"/>
        </w:rPr>
      </w:pPr>
    </w:p>
    <w:p w:rsidR="00E20679" w:rsidRPr="00943BA1" w:rsidRDefault="00E20679" w:rsidP="00E2067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:rsidR="00E20679" w:rsidRPr="00943BA1" w:rsidRDefault="00E20679" w:rsidP="00E20679">
      <w:pPr>
        <w:pStyle w:val="Paragrafoelenco"/>
        <w:numPr>
          <w:ilvl w:val="0"/>
          <w:numId w:val="2"/>
        </w:numPr>
        <w:rPr>
          <w:rFonts w:ascii="Verdana" w:hAnsi="Verdana"/>
          <w:sz w:val="16"/>
          <w:szCs w:val="16"/>
          <w:highlight w:val="yellow"/>
        </w:rPr>
      </w:pPr>
      <w:r w:rsidRPr="00943BA1">
        <w:rPr>
          <w:rFonts w:ascii="Verdana" w:hAnsi="Verdana"/>
          <w:sz w:val="16"/>
          <w:szCs w:val="16"/>
        </w:rPr>
        <w:t xml:space="preserve">1300 iscritti non hanno donato nel 2019 </w:t>
      </w:r>
      <w:bookmarkStart w:id="0" w:name="_GoBack"/>
      <w:bookmarkEnd w:id="0"/>
    </w:p>
    <w:p w:rsidR="00E20679" w:rsidRPr="0097430D" w:rsidRDefault="00E20679" w:rsidP="00E20679">
      <w:pPr>
        <w:pStyle w:val="Paragrafoelenco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97430D">
        <w:rPr>
          <w:rFonts w:ascii="Verdana" w:hAnsi="Verdana"/>
          <w:sz w:val="16"/>
          <w:szCs w:val="16"/>
        </w:rPr>
        <w:t>Forse mancano multicomponenti eseguiti in piccola quantità in alcune sezioni.</w:t>
      </w:r>
    </w:p>
    <w:p w:rsidR="00E20679" w:rsidRPr="0097430D" w:rsidRDefault="00E20679" w:rsidP="00E20679">
      <w:pPr>
        <w:rPr>
          <w:rFonts w:ascii="Verdana" w:hAnsi="Verdana"/>
          <w:sz w:val="16"/>
          <w:szCs w:val="16"/>
        </w:rPr>
      </w:pPr>
    </w:p>
    <w:p w:rsidR="00E20679" w:rsidRPr="0097430D" w:rsidRDefault="00E20679" w:rsidP="00E20679">
      <w:pPr>
        <w:rPr>
          <w:rFonts w:ascii="Verdana" w:hAnsi="Verdana"/>
          <w:sz w:val="16"/>
          <w:szCs w:val="16"/>
        </w:rPr>
      </w:pPr>
    </w:p>
    <w:p w:rsidR="00E20679" w:rsidRPr="00921415" w:rsidRDefault="00E20679" w:rsidP="00E20679">
      <w:pPr>
        <w:spacing w:after="0"/>
        <w:jc w:val="both"/>
        <w:rPr>
          <w:rFonts w:ascii="Verdana" w:hAnsi="Verdana"/>
        </w:rPr>
      </w:pPr>
    </w:p>
    <w:sectPr w:rsidR="00E20679" w:rsidRPr="0092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9D9"/>
    <w:multiLevelType w:val="hybridMultilevel"/>
    <w:tmpl w:val="28E8981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93542C0"/>
    <w:multiLevelType w:val="hybridMultilevel"/>
    <w:tmpl w:val="29F0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E1B54"/>
    <w:multiLevelType w:val="hybridMultilevel"/>
    <w:tmpl w:val="26829C2C"/>
    <w:lvl w:ilvl="0" w:tplc="D876C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5"/>
    <w:rsid w:val="00025065"/>
    <w:rsid w:val="002C6EA8"/>
    <w:rsid w:val="0046017E"/>
    <w:rsid w:val="006F76F8"/>
    <w:rsid w:val="00806B52"/>
    <w:rsid w:val="00921415"/>
    <w:rsid w:val="009310FB"/>
    <w:rsid w:val="00CD6FCF"/>
    <w:rsid w:val="00E20679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4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4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</dc:creator>
  <cp:lastModifiedBy>Massa</cp:lastModifiedBy>
  <cp:revision>4</cp:revision>
  <dcterms:created xsi:type="dcterms:W3CDTF">2020-03-03T08:52:00Z</dcterms:created>
  <dcterms:modified xsi:type="dcterms:W3CDTF">2020-03-06T10:15:00Z</dcterms:modified>
</cp:coreProperties>
</file>